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50EEA2">
      <w:pPr>
        <w:spacing w:line="460" w:lineRule="exact"/>
        <w:jc w:val="center"/>
        <w:rPr>
          <w:rFonts w:ascii="方正小标宋简体" w:hAnsi="方正小标宋简体" w:eastAsia="方正小标宋简体"/>
          <w:b/>
          <w:kern w:val="0"/>
          <w:sz w:val="44"/>
          <w:szCs w:val="44"/>
        </w:rPr>
      </w:pPr>
      <w:bookmarkStart w:id="0" w:name="OLE_LINK1"/>
      <w:r>
        <w:rPr>
          <w:rFonts w:hint="eastAsia" w:ascii="方正小标宋简体" w:hAnsi="方正小标宋简体" w:eastAsia="方正小标宋简体"/>
          <w:b/>
          <w:kern w:val="0"/>
          <w:sz w:val="44"/>
          <w:szCs w:val="44"/>
          <w:lang w:val="en-US" w:eastAsia="zh-CN"/>
        </w:rPr>
        <w:t xml:space="preserve"> </w:t>
      </w:r>
      <w:r>
        <w:rPr>
          <w:rFonts w:hint="eastAsia" w:ascii="方正小标宋简体" w:hAnsi="方正小标宋简体" w:eastAsia="方正小标宋简体"/>
          <w:b/>
          <w:kern w:val="0"/>
          <w:sz w:val="44"/>
          <w:szCs w:val="44"/>
        </w:rPr>
        <w:t xml:space="preserve"> 济南市历下区</w:t>
      </w:r>
      <w:bookmarkStart w:id="1" w:name="ZhiFaFenJuMC"/>
      <w:bookmarkEnd w:id="1"/>
      <w:r>
        <w:rPr>
          <w:rFonts w:hint="eastAsia" w:ascii="方正小标宋简体" w:hAnsi="方正小标宋简体" w:eastAsia="方正小标宋简体"/>
          <w:b/>
          <w:sz w:val="44"/>
          <w:szCs w:val="44"/>
        </w:rPr>
        <w:t>行政审批服务局</w:t>
      </w:r>
    </w:p>
    <w:p w14:paraId="57CAD71E">
      <w:pPr>
        <w:spacing w:line="460" w:lineRule="exact"/>
        <w:jc w:val="center"/>
        <w:rPr>
          <w:rFonts w:ascii="方正小标宋简体" w:hAnsi="方正小标宋简体" w:eastAsia="方正小标宋简体"/>
          <w:b/>
          <w:kern w:val="0"/>
          <w:sz w:val="44"/>
          <w:szCs w:val="44"/>
        </w:rPr>
      </w:pPr>
      <w:r>
        <w:rPr>
          <w:rFonts w:hint="eastAsia" w:ascii="方正小标宋简体" w:hAnsi="方正小标宋简体" w:eastAsia="方正小标宋简体"/>
          <w:b/>
          <w:kern w:val="0"/>
          <w:sz w:val="44"/>
          <w:szCs w:val="44"/>
        </w:rPr>
        <w:t>撤销登记决定书</w:t>
      </w:r>
    </w:p>
    <w:p w14:paraId="728374DF">
      <w:pPr>
        <w:spacing w:line="460" w:lineRule="exact"/>
        <w:jc w:val="center"/>
        <w:rPr>
          <w:rFonts w:hint="eastAsia" w:ascii="楷体_GB2312" w:hAnsi="宋体" w:eastAsia="楷体_GB2312" w:cs="Times New Roman"/>
          <w:sz w:val="32"/>
          <w:szCs w:val="32"/>
          <w:highlight w:val="none"/>
          <w:lang w:eastAsia="zh-CN"/>
        </w:rPr>
      </w:pPr>
      <w:r>
        <w:rPr>
          <w:rFonts w:hint="eastAsia" w:ascii="楷体_GB2312" w:hAnsi="宋体" w:eastAsia="楷体_GB2312" w:cs="Times New Roman"/>
          <w:sz w:val="32"/>
          <w:szCs w:val="32"/>
          <w:highlight w:val="none"/>
        </w:rPr>
        <w:t xml:space="preserve">  </w:t>
      </w:r>
      <w:bookmarkStart w:id="2" w:name="GongShangJuZi"/>
      <w:bookmarkEnd w:id="2"/>
      <w:r>
        <w:rPr>
          <w:rFonts w:hint="eastAsia" w:ascii="楷体_GB2312" w:hAnsi="宋体" w:eastAsia="楷体_GB2312" w:cs="Times New Roman"/>
          <w:sz w:val="32"/>
          <w:szCs w:val="32"/>
          <w:highlight w:val="none"/>
        </w:rPr>
        <w:t>济历下行政审批撤登字〔</w:t>
      </w:r>
      <w:r>
        <w:rPr>
          <w:rFonts w:hint="default" w:ascii="楷体_GB2312" w:hAnsi="宋体" w:eastAsia="楷体_GB2312" w:cs="Times New Roman"/>
          <w:sz w:val="32"/>
          <w:szCs w:val="32"/>
          <w:highlight w:val="none"/>
          <w:lang w:val="en-US"/>
        </w:rPr>
        <w:t>2025</w:t>
      </w:r>
      <w:r>
        <w:rPr>
          <w:rFonts w:hint="eastAsia" w:ascii="楷体_GB2312" w:hAnsi="宋体" w:eastAsia="楷体_GB2312" w:cs="Times New Roman"/>
          <w:sz w:val="32"/>
          <w:szCs w:val="32"/>
          <w:highlight w:val="none"/>
        </w:rPr>
        <w:t>〕</w:t>
      </w:r>
      <w:r>
        <w:rPr>
          <w:rFonts w:hint="eastAsia" w:ascii="楷体_GB2312" w:hAnsi="宋体" w:eastAsia="楷体_GB2312" w:cs="Times New Roman"/>
          <w:sz w:val="32"/>
          <w:szCs w:val="32"/>
          <w:highlight w:val="none"/>
          <w:lang w:eastAsia="zh-CN"/>
        </w:rPr>
        <w:t>第0</w:t>
      </w:r>
      <w:r>
        <w:rPr>
          <w:rFonts w:hint="default" w:ascii="楷体_GB2312" w:hAnsi="宋体" w:eastAsia="楷体_GB2312" w:cs="Times New Roman"/>
          <w:color w:val="0000FF"/>
          <w:sz w:val="32"/>
          <w:szCs w:val="32"/>
          <w:highlight w:val="none"/>
          <w:lang w:val="en-US" w:eastAsia="zh-CN"/>
        </w:rPr>
        <w:t>83</w:t>
      </w:r>
      <w:r>
        <w:rPr>
          <w:rFonts w:hint="eastAsia" w:ascii="楷体_GB2312" w:hAnsi="宋体" w:eastAsia="楷体_GB2312" w:cs="Times New Roman"/>
          <w:sz w:val="32"/>
          <w:szCs w:val="32"/>
          <w:highlight w:val="none"/>
          <w:lang w:eastAsia="zh-CN"/>
        </w:rPr>
        <w:t>号</w:t>
      </w:r>
      <w:r>
        <w:rPr>
          <w:rFonts w:hint="eastAsia" w:ascii="楷体_GB2312" w:hAnsi="宋体" w:eastAsia="楷体_GB2312" w:cs="Times New Roman"/>
          <w:sz w:val="32"/>
          <w:szCs w:val="32"/>
          <w:highlight w:val="none"/>
          <w:lang w:eastAsia="zh-CN"/>
        </w:rPr>
        <w:tab/>
      </w:r>
      <w:r>
        <w:rPr>
          <w:rFonts w:hint="eastAsia" w:ascii="楷体_GB2312" w:hAnsi="宋体" w:eastAsia="楷体_GB2312" w:cs="Times New Roman"/>
          <w:sz w:val="32"/>
          <w:szCs w:val="32"/>
          <w:highlight w:val="none"/>
          <w:lang w:eastAsia="zh-CN"/>
        </w:rPr>
        <w:tab/>
      </w:r>
    </w:p>
    <w:p w14:paraId="30EDE055">
      <w:pPr>
        <w:spacing w:line="460" w:lineRule="exact"/>
        <w:rPr>
          <w:rFonts w:hint="eastAsia" w:ascii="仿宋_GB2312" w:hAnsi="仿宋" w:eastAsia="仿宋_GB2312"/>
          <w:sz w:val="32"/>
          <w:szCs w:val="32"/>
        </w:rPr>
      </w:pPr>
      <w:r>
        <w:rPr>
          <w:sz w:val="32"/>
        </w:rPr>
        <mc:AlternateContent>
          <mc:Choice Requires="wps">
            <w:drawing>
              <wp:anchor distT="0" distB="0" distL="0" distR="0" simplePos="0" relativeHeight="251659264" behindDoc="0" locked="0" layoutInCell="1" allowOverlap="1">
                <wp:simplePos x="0" y="0"/>
                <wp:positionH relativeFrom="column">
                  <wp:posOffset>21590</wp:posOffset>
                </wp:positionH>
                <wp:positionV relativeFrom="paragraph">
                  <wp:posOffset>13970</wp:posOffset>
                </wp:positionV>
                <wp:extent cx="5238750" cy="39370"/>
                <wp:effectExtent l="0" t="4445" r="0" b="13334"/>
                <wp:wrapNone/>
                <wp:docPr id="1027" name="直线 2"/>
                <wp:cNvGraphicFramePr/>
                <a:graphic xmlns:a="http://schemas.openxmlformats.org/drawingml/2006/main">
                  <a:graphicData uri="http://schemas.microsoft.com/office/word/2010/wordprocessingShape">
                    <wps:wsp>
                      <wps:cNvCnPr/>
                      <wps:spPr>
                        <a:xfrm flipV="1">
                          <a:off x="0" y="0"/>
                          <a:ext cx="5238750" cy="39370"/>
                        </a:xfrm>
                        <a:prstGeom prst="line">
                          <a:avLst/>
                        </a:prstGeom>
                        <a:ln w="317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flip:y;margin-left:1.7pt;margin-top:1.1pt;height:3.1pt;width:412.5pt;z-index:251659264;mso-width-relative:page;mso-height-relative:page;" filled="f" stroked="t" coordsize="21600,21600" o:gfxdata="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wRm80QAAAAUBAAAPAAAAAAAAAAEAIAAAACIAAABkcnMvZG93bnJldi54bWxQSwECFAAUAAAACACH&#10;TuJAqwzJ4PIBAADqAwAADgAAAAAAAAABACAAAAAgAQAAZHJzL2Uyb0RvYy54bWxQSwUGAAAAAAYA&#10;BgBZAQAAhAUAAAAA&#10;">
                <v:fill on="f" focussize="0,0"/>
                <v:stroke weight="0.25pt" color="#000000" joinstyle="round"/>
                <v:imagedata o:title=""/>
                <o:lock v:ext="edit" aspectratio="f"/>
              </v:line>
            </w:pict>
          </mc:Fallback>
        </mc:AlternateContent>
      </w:r>
    </w:p>
    <w:p w14:paraId="33A80654">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 w:eastAsia="仿宋_GB2312"/>
          <w:sz w:val="32"/>
          <w:szCs w:val="32"/>
          <w:lang w:val="en-US"/>
        </w:rPr>
      </w:pP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人（单位）名称：</w:t>
      </w:r>
      <w:r>
        <w:rPr>
          <w:rFonts w:hint="eastAsia" w:ascii="仿宋_GB2312" w:hAnsi="仿宋" w:eastAsia="仿宋_GB2312" w:cs="Times New Roman"/>
          <w:color w:val="0000FF"/>
          <w:sz w:val="32"/>
          <w:szCs w:val="32"/>
          <w:lang w:val="en-US" w:eastAsia="zh-CN"/>
        </w:rPr>
        <w:t>济南历下勤奢韵商贸店（个体工商户）</w:t>
      </w:r>
    </w:p>
    <w:p w14:paraId="3A0A48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 w:eastAsia="仿宋_GB2312"/>
          <w:sz w:val="32"/>
          <w:szCs w:val="32"/>
        </w:rPr>
      </w:pPr>
      <w:r>
        <w:rPr>
          <w:rFonts w:hint="eastAsia" w:ascii="仿宋_GB2312" w:hAnsi="仿宋" w:eastAsia="仿宋_GB2312"/>
          <w:sz w:val="32"/>
          <w:szCs w:val="32"/>
        </w:rPr>
        <w:t>统一社会信用代码:</w:t>
      </w:r>
      <w:r>
        <w:rPr>
          <w:rFonts w:hint="eastAsia" w:ascii="仿宋_GB2312" w:hAnsi="仿宋" w:eastAsia="仿宋_GB2312"/>
          <w:color w:val="0000FF"/>
          <w:sz w:val="32"/>
          <w:szCs w:val="32"/>
          <w:lang w:val="en-US" w:eastAsia="zh-CN"/>
        </w:rPr>
        <w:t>92370102MAE1GKT69T</w:t>
      </w:r>
    </w:p>
    <w:p w14:paraId="50FF133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经营者</w:t>
      </w:r>
      <w:r>
        <w:rPr>
          <w:rFonts w:hint="eastAsia" w:ascii="仿宋_GB2312" w:hAnsi="仿宋" w:eastAsia="仿宋_GB2312"/>
          <w:sz w:val="32"/>
          <w:szCs w:val="32"/>
          <w:lang w:eastAsia="zh-CN"/>
        </w:rPr>
        <w:t>：</w:t>
      </w:r>
      <w:r>
        <w:rPr>
          <w:rFonts w:hint="eastAsia" w:ascii="仿宋_GB2312" w:hAnsi="仿宋" w:eastAsia="仿宋_GB2312"/>
          <w:color w:val="0000FF"/>
          <w:sz w:val="32"/>
          <w:szCs w:val="32"/>
          <w:lang w:val="en-US" w:eastAsia="zh-CN"/>
        </w:rPr>
        <w:t>郑丹琪</w:t>
      </w:r>
    </w:p>
    <w:p w14:paraId="7A0EADA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地址（住所）：</w:t>
      </w:r>
      <w:r>
        <w:rPr>
          <w:rFonts w:hint="eastAsia" w:ascii="仿宋_GB2312" w:hAnsi="仿宋" w:eastAsia="仿宋_GB2312"/>
          <w:color w:val="0000FF"/>
          <w:sz w:val="32"/>
          <w:szCs w:val="32"/>
          <w:lang w:val="en-US" w:eastAsia="zh-CN"/>
        </w:rPr>
        <w:t>山东省济南市历下区甸柳新村街道解放路16号黄金大厦3层303</w:t>
      </w:r>
    </w:p>
    <w:p w14:paraId="36E0AE5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经查</w:t>
      </w:r>
      <w:r>
        <w:rPr>
          <w:rFonts w:hint="eastAsia" w:ascii="仿宋_GB2312" w:hAnsi="仿宋" w:eastAsia="仿宋_GB2312" w:cs="Times New Roman"/>
          <w:sz w:val="32"/>
          <w:szCs w:val="32"/>
          <w:lang w:val="en-US" w:eastAsia="zh-CN"/>
        </w:rPr>
        <w:t>实</w:t>
      </w:r>
      <w:r>
        <w:rPr>
          <w:rFonts w:hint="eastAsia" w:ascii="仿宋_GB2312" w:hAnsi="仿宋" w:eastAsia="仿宋_GB2312" w:cs="Times New Roman"/>
          <w:sz w:val="32"/>
          <w:szCs w:val="32"/>
          <w:lang w:eastAsia="zh-CN"/>
        </w:rPr>
        <w:t>：</w:t>
      </w: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w:t>
      </w:r>
      <w:r>
        <w:rPr>
          <w:rFonts w:hint="default" w:ascii="仿宋_GB2312" w:hAnsi="仿宋" w:eastAsia="仿宋_GB2312" w:cs="Times New Roman"/>
          <w:color w:val="0000FF"/>
          <w:sz w:val="32"/>
          <w:szCs w:val="32"/>
          <w:lang w:val="en-US" w:eastAsia="zh-CN"/>
        </w:rPr>
        <w:t>济南历下勤奢韵商贸店（个体工商户）</w:t>
      </w:r>
      <w:r>
        <w:rPr>
          <w:rFonts w:hint="eastAsia" w:ascii="仿宋_GB2312" w:hAnsi="仿宋" w:eastAsia="仿宋_GB2312" w:cs="Times New Roman"/>
          <w:sz w:val="32"/>
          <w:szCs w:val="32"/>
          <w:lang w:eastAsia="zh-CN"/>
        </w:rPr>
        <w:t>于</w:t>
      </w:r>
      <w:r>
        <w:rPr>
          <w:rFonts w:hint="eastAsia" w:ascii="仿宋_GB2312" w:hAnsi="仿宋" w:eastAsia="仿宋_GB2312" w:cs="Times New Roman"/>
          <w:color w:val="0000FF"/>
          <w:sz w:val="32"/>
          <w:szCs w:val="32"/>
          <w:lang w:val="en-US" w:eastAsia="zh-CN"/>
        </w:rPr>
        <w:t>2024年9月24</w:t>
      </w:r>
      <w:r>
        <w:rPr>
          <w:rFonts w:hint="eastAsia" w:ascii="仿宋_GB2312" w:hAnsi="仿宋" w:eastAsia="仿宋_GB2312" w:cs="Times New Roman"/>
          <w:sz w:val="32"/>
          <w:szCs w:val="32"/>
          <w:lang w:val="en-US" w:eastAsia="zh-CN"/>
        </w:rPr>
        <w:t>日</w:t>
      </w:r>
      <w:r>
        <w:rPr>
          <w:rFonts w:hint="eastAsia" w:ascii="仿宋_GB2312" w:hAnsi="仿宋" w:eastAsia="仿宋_GB2312" w:cs="Times New Roman"/>
          <w:sz w:val="32"/>
          <w:szCs w:val="32"/>
          <w:lang w:eastAsia="zh-CN"/>
        </w:rPr>
        <w:t>向登记机关申请</w:t>
      </w:r>
      <w:r>
        <w:rPr>
          <w:rFonts w:hint="eastAsia" w:ascii="仿宋_GB2312" w:hAnsi="仿宋" w:eastAsia="仿宋_GB2312" w:cs="Times New Roman"/>
          <w:color w:val="0000FF"/>
          <w:sz w:val="32"/>
          <w:szCs w:val="32"/>
          <w:lang w:eastAsia="zh-CN"/>
        </w:rPr>
        <w:t>设立</w:t>
      </w:r>
      <w:r>
        <w:rPr>
          <w:rFonts w:hint="eastAsia" w:ascii="仿宋_GB2312" w:hAnsi="仿宋" w:eastAsia="仿宋_GB2312" w:cs="Times New Roman"/>
          <w:sz w:val="32"/>
          <w:szCs w:val="32"/>
          <w:lang w:eastAsia="zh-CN"/>
        </w:rPr>
        <w:t>登记时，冒用</w:t>
      </w:r>
      <w:r>
        <w:rPr>
          <w:rFonts w:hint="eastAsia" w:ascii="仿宋_GB2312" w:hAnsi="仿宋" w:eastAsia="仿宋_GB2312" w:cs="Times New Roman"/>
          <w:color w:val="0000FF"/>
          <w:sz w:val="32"/>
          <w:szCs w:val="32"/>
          <w:lang w:val="en-US" w:eastAsia="zh-CN"/>
        </w:rPr>
        <w:t>山东省济南市历下区甸柳新村街道解放路16号黄金大厦3层 303地址</w:t>
      </w:r>
      <w:r>
        <w:rPr>
          <w:rFonts w:hint="eastAsia" w:ascii="仿宋_GB2312" w:hAnsi="仿宋" w:eastAsia="仿宋_GB2312" w:cs="Times New Roman"/>
          <w:sz w:val="32"/>
          <w:szCs w:val="32"/>
          <w:lang w:eastAsia="zh-CN"/>
        </w:rPr>
        <w:t>信息。被许可人提交的是虚假材料，隐瞒重要事实。</w:t>
      </w:r>
    </w:p>
    <w:p w14:paraId="0008D64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经向国家税务总局济南市历下区税务局、济南市公安局历下区分局二部门发函征询撤销意见，二部门在约定反馈时间内对撤销该市场主体均无异议。</w:t>
      </w:r>
    </w:p>
    <w:p w14:paraId="79DA45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被许可人采取欺诈手段隐瞒重要事实向公司登记机关提交虚假材料骗取公司登记的行为，违反了《中华人民共和国行政许可法》第三十一条“申请人申请行政许可，应当如实向行政机关提交有关材料和反映真实情况，并对其申请材料实质内容的真实性负责”的规定。</w:t>
      </w:r>
    </w:p>
    <w:p w14:paraId="2697988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依据《中华人民共和国行政许可法》第六十九</w:t>
      </w:r>
      <w:r>
        <w:rPr>
          <w:rFonts w:hint="eastAsia" w:ascii="仿宋_GB2312" w:hAnsi="仿宋" w:eastAsia="仿宋_GB2312" w:cs="Times New Roman"/>
          <w:sz w:val="32"/>
          <w:szCs w:val="32"/>
          <w:lang w:val="en-US" w:eastAsia="zh-CN"/>
        </w:rPr>
        <w:t>条</w:t>
      </w:r>
      <w:r>
        <w:rPr>
          <w:rFonts w:hint="eastAsia" w:ascii="仿宋_GB2312" w:hAnsi="仿宋" w:eastAsia="仿宋_GB2312" w:cs="Times New Roman"/>
          <w:sz w:val="32"/>
          <w:szCs w:val="32"/>
          <w:lang w:eastAsia="zh-CN"/>
        </w:rPr>
        <w:t>“被许可人以欺骗、贿赂等不正当手段取得行政许可的，应当予以撤销”、《中华人民共和国市场主体登记管理条例</w:t>
      </w:r>
      <w:r>
        <w:rPr>
          <w:rFonts w:hint="eastAsia" w:ascii="仿宋_GB2312" w:hAnsi="仿宋" w:eastAsia="仿宋_GB2312" w:cs="Times New Roman"/>
          <w:sz w:val="32"/>
          <w:szCs w:val="32"/>
          <w:lang w:val="en-US" w:eastAsia="zh-CN"/>
        </w:rPr>
        <w:t>实施细则</w:t>
      </w:r>
      <w:r>
        <w:rPr>
          <w:rFonts w:hint="eastAsia" w:ascii="仿宋_GB2312" w:hAnsi="仿宋" w:eastAsia="仿宋_GB2312" w:cs="Times New Roman"/>
          <w:sz w:val="32"/>
          <w:szCs w:val="32"/>
          <w:lang w:eastAsia="zh-CN"/>
        </w:rPr>
        <w:t>》第五十七条“同一登记包含多个登记事项，其中</w:t>
      </w:r>
      <w:r>
        <w:rPr>
          <w:rFonts w:hint="eastAsia" w:ascii="仿宋_GB2312" w:hAnsi="仿宋" w:eastAsia="仿宋_GB2312" w:cs="Times New Roman"/>
          <w:color w:val="0000FF"/>
          <w:sz w:val="32"/>
          <w:szCs w:val="32"/>
          <w:lang w:eastAsia="zh-CN"/>
        </w:rPr>
        <w:t>部分</w:t>
      </w:r>
      <w:r>
        <w:rPr>
          <w:rFonts w:hint="eastAsia" w:ascii="仿宋_GB2312" w:hAnsi="仿宋" w:eastAsia="仿宋_GB2312" w:cs="Times New Roman"/>
          <w:sz w:val="32"/>
          <w:szCs w:val="32"/>
          <w:lang w:eastAsia="zh-CN"/>
        </w:rPr>
        <w:t>登记事项被认定为虚假，撤销虚假的登记事项不影响市场主体存续</w:t>
      </w:r>
      <w:bookmarkStart w:id="3" w:name="_GoBack"/>
      <w:bookmarkEnd w:id="3"/>
      <w:r>
        <w:rPr>
          <w:rFonts w:hint="eastAsia" w:ascii="仿宋_GB2312" w:hAnsi="仿宋" w:eastAsia="仿宋_GB2312" w:cs="Times New Roman"/>
          <w:sz w:val="32"/>
          <w:szCs w:val="32"/>
          <w:lang w:eastAsia="zh-CN"/>
        </w:rPr>
        <w:t>的，登记机关可以仅撤销虚假的登记事项”的规定，经研究决定</w:t>
      </w:r>
      <w:r>
        <w:rPr>
          <w:rFonts w:hint="eastAsia" w:ascii="仿宋_GB2312" w:hAnsi="仿宋_GB2312" w:eastAsia="仿宋_GB2312" w:cs="仿宋_GB2312"/>
          <w:b w:val="0"/>
          <w:bCs w:val="0"/>
          <w:color w:val="auto"/>
          <w:sz w:val="32"/>
          <w:szCs w:val="32"/>
          <w:highlight w:val="none"/>
          <w:lang w:eastAsia="zh-CN"/>
        </w:rPr>
        <w:t>撤销</w:t>
      </w:r>
      <w:r>
        <w:rPr>
          <w:rFonts w:hint="default" w:ascii="仿宋_GB2312" w:hAnsi="仿宋" w:eastAsia="仿宋_GB2312" w:cs="Times New Roman"/>
          <w:color w:val="0000FF"/>
          <w:sz w:val="32"/>
          <w:szCs w:val="32"/>
          <w:lang w:val="en-US" w:eastAsia="zh-CN"/>
        </w:rPr>
        <w:t>济南历下勤奢韵商贸店（个体工商户）</w:t>
      </w:r>
      <w:r>
        <w:rPr>
          <w:rFonts w:hint="eastAsia" w:ascii="仿宋_GB2312" w:hAnsi="仿宋" w:eastAsia="仿宋_GB2312" w:cs="Times New Roman"/>
          <w:color w:val="0000FF"/>
          <w:sz w:val="32"/>
          <w:szCs w:val="32"/>
          <w:lang w:val="en-US" w:eastAsia="zh-CN"/>
        </w:rPr>
        <w:t>2024年9月24</w:t>
      </w:r>
      <w:r>
        <w:rPr>
          <w:rFonts w:hint="eastAsia" w:ascii="仿宋_GB2312" w:hAnsi="仿宋" w:eastAsia="仿宋_GB2312" w:cs="Times New Roman"/>
          <w:sz w:val="32"/>
          <w:szCs w:val="32"/>
          <w:lang w:val="en-US" w:eastAsia="zh-CN"/>
        </w:rPr>
        <w:t>日</w:t>
      </w:r>
      <w:r>
        <w:rPr>
          <w:rFonts w:hint="eastAsia" w:ascii="仿宋_GB2312" w:hAnsi="仿宋_GB2312" w:eastAsia="仿宋_GB2312" w:cs="仿宋_GB2312"/>
          <w:b w:val="0"/>
          <w:bCs w:val="0"/>
          <w:color w:val="0000FF"/>
          <w:sz w:val="32"/>
          <w:szCs w:val="32"/>
          <w:highlight w:val="none"/>
          <w:lang w:val="en-US" w:eastAsia="zh-CN"/>
        </w:rPr>
        <w:t>设立</w:t>
      </w:r>
      <w:r>
        <w:rPr>
          <w:rFonts w:hint="eastAsia" w:ascii="仿宋_GB2312" w:hAnsi="仿宋_GB2312" w:eastAsia="仿宋_GB2312" w:cs="仿宋_GB2312"/>
          <w:b w:val="0"/>
          <w:bCs w:val="0"/>
          <w:color w:val="auto"/>
          <w:sz w:val="32"/>
          <w:szCs w:val="32"/>
          <w:highlight w:val="none"/>
          <w:lang w:val="en-US" w:eastAsia="zh-CN"/>
        </w:rPr>
        <w:t>时的虚假</w:t>
      </w:r>
      <w:r>
        <w:rPr>
          <w:rFonts w:hint="eastAsia" w:ascii="仿宋_GB2312" w:hAnsi="仿宋_GB2312" w:eastAsia="仿宋_GB2312" w:cs="仿宋_GB2312"/>
          <w:b w:val="0"/>
          <w:bCs w:val="0"/>
          <w:color w:val="auto"/>
          <w:sz w:val="32"/>
          <w:szCs w:val="32"/>
          <w:highlight w:val="none"/>
          <w:lang w:eastAsia="zh-CN"/>
        </w:rPr>
        <w:t>登记事项</w:t>
      </w:r>
      <w:r>
        <w:rPr>
          <w:rFonts w:hint="eastAsia" w:ascii="仿宋_GB2312" w:hAnsi="仿宋" w:eastAsia="仿宋_GB2312" w:cs="Times New Roman"/>
          <w:sz w:val="32"/>
          <w:szCs w:val="32"/>
          <w:lang w:val="en-US" w:eastAsia="zh-CN"/>
        </w:rPr>
        <w:t>。</w:t>
      </w:r>
    </w:p>
    <w:p w14:paraId="1B6353D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0"/>
          <w:sz w:val="32"/>
          <w:szCs w:val="32"/>
        </w:rPr>
      </w:pPr>
      <w:r>
        <w:rPr>
          <w:rFonts w:hint="eastAsia" w:ascii="仿宋_GB2312" w:hAnsi="仿宋" w:eastAsia="仿宋_GB2312" w:cs="Times New Roman"/>
          <w:sz w:val="32"/>
          <w:szCs w:val="32"/>
          <w:highlight w:val="none"/>
          <w:lang w:eastAsia="zh-CN"/>
        </w:rPr>
        <w:t xml:space="preserve">如对本决定不服，可以自收到本决定书之日起60日内向济南市历下区人民政府申请行政复议（地址：济南市历下区工业南路与二环东路交叉口东北180米历下区矛调中心二楼207室）；或者自收到本决定书之日起6个月内向济南市历下区人民法院（地址：济南市历下区历山路147号）、济南市天桥区人民法院（地址：济南市天桥区无影山中路110号）、济南市济阳区人民法院（地址：济南市济阳区新元大街9号）、济南市商河县人民法院（地址：济南市商河县温泉路1111号）提起行政诉讼。   </w:t>
      </w:r>
    </w:p>
    <w:p w14:paraId="1BB5953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0"/>
          <w:sz w:val="32"/>
          <w:szCs w:val="32"/>
        </w:rPr>
      </w:pPr>
      <w:r>
        <w:rPr>
          <w:rFonts w:hint="eastAsia" w:ascii="仿宋_GB2312" w:hAnsi="仿宋" w:eastAsia="仿宋_GB2312" w:cs="Times New Roman"/>
          <w:sz w:val="32"/>
          <w:szCs w:val="32"/>
          <w:highlight w:val="none"/>
          <w:lang w:eastAsia="zh-CN"/>
        </w:rPr>
        <w:t xml:space="preserve"> </w:t>
      </w:r>
    </w:p>
    <w:p w14:paraId="50E8D48F">
      <w:pPr>
        <w:spacing w:line="460" w:lineRule="exact"/>
        <w:rPr>
          <w:rFonts w:hint="eastAsia" w:ascii="仿宋" w:hAnsi="仿宋" w:eastAsia="仿宋" w:cs="仿宋"/>
          <w:kern w:val="0"/>
          <w:sz w:val="32"/>
          <w:szCs w:val="32"/>
        </w:rPr>
      </w:pPr>
    </w:p>
    <w:p w14:paraId="7DF0C87C">
      <w:pPr>
        <w:spacing w:line="460" w:lineRule="exact"/>
        <w:rPr>
          <w:rFonts w:hint="eastAsia" w:ascii="仿宋" w:hAnsi="仿宋" w:eastAsia="仿宋" w:cs="仿宋"/>
          <w:kern w:val="0"/>
          <w:sz w:val="32"/>
          <w:szCs w:val="32"/>
        </w:rPr>
      </w:pPr>
    </w:p>
    <w:p w14:paraId="07B6FD0D">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 w:eastAsia="仿宋_GB2312" w:cs="Times New Roman"/>
          <w:sz w:val="32"/>
          <w:szCs w:val="32"/>
          <w:lang w:eastAsia="zh-CN"/>
        </w:rPr>
      </w:pPr>
      <w:r>
        <w:rPr>
          <w:rFonts w:hint="eastAsia" w:ascii="仿宋" w:hAnsi="仿宋" w:eastAsia="仿宋" w:cs="仿宋"/>
          <w:kern w:val="0"/>
          <w:sz w:val="32"/>
          <w:szCs w:val="32"/>
        </w:rPr>
        <w:t xml:space="preserve">                     </w:t>
      </w:r>
      <w:r>
        <w:rPr>
          <w:rFonts w:hint="eastAsia" w:ascii="仿宋_GB2312" w:hAnsi="仿宋" w:eastAsia="仿宋_GB2312" w:cs="Times New Roman"/>
          <w:sz w:val="32"/>
          <w:szCs w:val="32"/>
          <w:lang w:eastAsia="zh-CN"/>
        </w:rPr>
        <w:t>济南市历下区行政审批服务局</w:t>
      </w:r>
    </w:p>
    <w:bookmarkEnd w:id="0"/>
    <w:p w14:paraId="134EEEA8">
      <w:pPr>
        <w:keepNext w:val="0"/>
        <w:keepLines w:val="0"/>
        <w:pageBreakBefore w:val="0"/>
        <w:widowControl w:val="0"/>
        <w:kinsoku/>
        <w:wordWrap/>
        <w:overflowPunct/>
        <w:topLinePunct w:val="0"/>
        <w:autoSpaceDE/>
        <w:autoSpaceDN/>
        <w:bidi w:val="0"/>
        <w:adjustRightInd/>
        <w:snapToGrid/>
        <w:spacing w:line="700" w:lineRule="exact"/>
        <w:ind w:firstLine="4800" w:firstLineChars="1500"/>
        <w:textAlignment w:val="auto"/>
        <w:rPr>
          <w:rFonts w:hint="eastAsia" w:ascii="仿宋_GB2312" w:hAnsi="仿宋" w:eastAsia="仿宋_GB2312" w:cs="Times New Roman"/>
          <w:sz w:val="32"/>
          <w:szCs w:val="32"/>
          <w:highlight w:val="none"/>
          <w:lang w:eastAsia="zh-CN"/>
        </w:rPr>
      </w:pPr>
      <w:r>
        <w:rPr>
          <w:rFonts w:hint="default" w:ascii="仿宋_GB2312" w:hAnsi="仿宋" w:eastAsia="仿宋_GB2312" w:cs="Times New Roman"/>
          <w:sz w:val="32"/>
          <w:szCs w:val="32"/>
          <w:highlight w:val="none"/>
          <w:lang w:val="en-US" w:eastAsia="zh-CN"/>
        </w:rPr>
        <w:t>2025</w:t>
      </w:r>
      <w:r>
        <w:rPr>
          <w:rFonts w:hint="eastAsia" w:ascii="仿宋_GB2312" w:hAnsi="仿宋" w:eastAsia="仿宋_GB2312" w:cs="Times New Roman"/>
          <w:sz w:val="32"/>
          <w:szCs w:val="32"/>
          <w:highlight w:val="none"/>
          <w:lang w:eastAsia="zh-CN"/>
        </w:rPr>
        <w:t>年</w:t>
      </w:r>
      <w:r>
        <w:rPr>
          <w:rFonts w:hint="default" w:ascii="仿宋_GB2312" w:hAnsi="仿宋" w:eastAsia="仿宋_GB2312" w:cs="Times New Roman"/>
          <w:sz w:val="32"/>
          <w:szCs w:val="32"/>
          <w:highlight w:val="none"/>
          <w:lang w:val="en-US" w:eastAsia="zh-CN"/>
        </w:rPr>
        <w:t>5</w:t>
      </w:r>
      <w:r>
        <w:rPr>
          <w:rFonts w:hint="eastAsia" w:ascii="仿宋_GB2312" w:hAnsi="仿宋" w:eastAsia="仿宋_GB2312" w:cs="Times New Roman"/>
          <w:color w:val="0000FF"/>
          <w:sz w:val="32"/>
          <w:szCs w:val="32"/>
          <w:highlight w:val="none"/>
          <w:lang w:eastAsia="zh-CN"/>
        </w:rPr>
        <w:t>月</w:t>
      </w:r>
      <w:r>
        <w:rPr>
          <w:rFonts w:hint="default" w:ascii="仿宋_GB2312" w:hAnsi="仿宋" w:eastAsia="仿宋_GB2312" w:cs="Times New Roman"/>
          <w:color w:val="0000FF"/>
          <w:sz w:val="32"/>
          <w:szCs w:val="32"/>
          <w:highlight w:val="none"/>
          <w:lang w:val="en-US" w:eastAsia="zh-CN"/>
        </w:rPr>
        <w:t>15</w:t>
      </w:r>
      <w:r>
        <w:rPr>
          <w:rFonts w:hint="eastAsia" w:ascii="仿宋_GB2312" w:hAnsi="仿宋" w:eastAsia="仿宋_GB2312" w:cs="Times New Roman"/>
          <w:sz w:val="32"/>
          <w:szCs w:val="32"/>
          <w:highlight w:val="none"/>
          <w:lang w:eastAsia="zh-CN"/>
        </w:rPr>
        <w:t>日</w:t>
      </w:r>
    </w:p>
    <w:p w14:paraId="41B1277F">
      <w:pPr>
        <w:spacing w:line="460" w:lineRule="exact"/>
        <w:ind w:firstLine="5280" w:firstLineChars="1650"/>
        <w:rPr>
          <w:rFonts w:hint="eastAsia" w:ascii="仿宋" w:hAnsi="仿宋" w:eastAsia="仿宋" w:cs="仿宋"/>
          <w:color w:val="000000"/>
          <w:kern w:val="0"/>
          <w:sz w:val="32"/>
          <w:szCs w:val="32"/>
        </w:rPr>
      </w:pPr>
    </w:p>
    <w:p w14:paraId="51477CBE">
      <w:pPr>
        <w:spacing w:line="460" w:lineRule="exact"/>
        <w:ind w:firstLine="5115" w:firstLineChars="1650"/>
        <w:rPr>
          <w:rFonts w:hint="eastAsia" w:ascii="仿宋" w:hAnsi="仿宋" w:eastAsia="仿宋" w:cs="仿宋"/>
          <w:color w:val="000000"/>
          <w:kern w:val="0"/>
          <w:sz w:val="31"/>
          <w:szCs w:val="31"/>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5104">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4EEA35C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E3AB0">
    <w:pPr>
      <w:pStyle w:val="3"/>
      <w:framePr w:wrap="around" w:vAnchor="text" w:hAnchor="margin" w:xAlign="center" w:y="1"/>
      <w:rPr>
        <w:rStyle w:val="9"/>
      </w:rPr>
    </w:pPr>
    <w:r>
      <w:fldChar w:fldCharType="begin"/>
    </w:r>
    <w:r>
      <w:rPr>
        <w:rStyle w:val="9"/>
      </w:rPr>
      <w:instrText xml:space="preserve">PAGE  </w:instrText>
    </w:r>
    <w:r>
      <w:fldChar w:fldCharType="end"/>
    </w:r>
  </w:p>
  <w:p w14:paraId="2A3F776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A631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ZmQyNTQ3NzhmNzIwMTY1YWM4ZWMxYzEyNTFmNTgifQ=="/>
    <w:docVar w:name="KSO_WPS_MARK_KEY" w:val="426d5efc-8279-4c9c-aaec-f109be2c327b"/>
  </w:docVars>
  <w:rsids>
    <w:rsidRoot w:val="00000000"/>
    <w:rsid w:val="01EB1CF2"/>
    <w:rsid w:val="03A26EFC"/>
    <w:rsid w:val="05FD2B10"/>
    <w:rsid w:val="07104474"/>
    <w:rsid w:val="0AA9774E"/>
    <w:rsid w:val="0CF43046"/>
    <w:rsid w:val="0F65034F"/>
    <w:rsid w:val="170B4940"/>
    <w:rsid w:val="172B0B5F"/>
    <w:rsid w:val="1B5328A7"/>
    <w:rsid w:val="1D8F14C4"/>
    <w:rsid w:val="20485A20"/>
    <w:rsid w:val="21C85928"/>
    <w:rsid w:val="24034DB6"/>
    <w:rsid w:val="247448C8"/>
    <w:rsid w:val="25BF7042"/>
    <w:rsid w:val="26686201"/>
    <w:rsid w:val="275F6D2E"/>
    <w:rsid w:val="282770AD"/>
    <w:rsid w:val="29CA0A2B"/>
    <w:rsid w:val="2B874C3A"/>
    <w:rsid w:val="2C1125C1"/>
    <w:rsid w:val="2DB71BA6"/>
    <w:rsid w:val="2FE7381C"/>
    <w:rsid w:val="37C06562"/>
    <w:rsid w:val="37CD7DAA"/>
    <w:rsid w:val="3BF57014"/>
    <w:rsid w:val="3C805325"/>
    <w:rsid w:val="3E6A51C8"/>
    <w:rsid w:val="3E7F63D6"/>
    <w:rsid w:val="3FC6532D"/>
    <w:rsid w:val="42440147"/>
    <w:rsid w:val="45141581"/>
    <w:rsid w:val="45DB7136"/>
    <w:rsid w:val="4772305C"/>
    <w:rsid w:val="47973596"/>
    <w:rsid w:val="48502432"/>
    <w:rsid w:val="48801A53"/>
    <w:rsid w:val="48917AA0"/>
    <w:rsid w:val="49195CEC"/>
    <w:rsid w:val="4949192E"/>
    <w:rsid w:val="499A1EF2"/>
    <w:rsid w:val="4D0C1A5F"/>
    <w:rsid w:val="4DFD3691"/>
    <w:rsid w:val="53EE6BC1"/>
    <w:rsid w:val="542B5209"/>
    <w:rsid w:val="5639443B"/>
    <w:rsid w:val="5A88463F"/>
    <w:rsid w:val="5B767BC7"/>
    <w:rsid w:val="5CEB7836"/>
    <w:rsid w:val="5E0C323F"/>
    <w:rsid w:val="5EE17A4E"/>
    <w:rsid w:val="5F6757D4"/>
    <w:rsid w:val="61412A26"/>
    <w:rsid w:val="620D2BAD"/>
    <w:rsid w:val="67C45D73"/>
    <w:rsid w:val="685932D4"/>
    <w:rsid w:val="6DA74534"/>
    <w:rsid w:val="723C2ADE"/>
    <w:rsid w:val="73F46D3F"/>
    <w:rsid w:val="76281D7B"/>
    <w:rsid w:val="762D47E5"/>
    <w:rsid w:val="77D756CD"/>
    <w:rsid w:val="77DC1F59"/>
    <w:rsid w:val="7A663EE8"/>
    <w:rsid w:val="7AC73B44"/>
    <w:rsid w:val="7BCE546F"/>
    <w:rsid w:val="7C7B3B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character" w:styleId="8">
    <w:name w:val="Strong"/>
    <w:basedOn w:val="7"/>
    <w:qFormat/>
    <w:uiPriority w:val="0"/>
  </w:style>
  <w:style w:type="character" w:styleId="9">
    <w:name w:val="page number"/>
    <w:basedOn w:val="7"/>
    <w:qFormat/>
    <w:uiPriority w:val="0"/>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TML Code"/>
    <w:basedOn w:val="7"/>
    <w:qFormat/>
    <w:uiPriority w:val="0"/>
    <w:rPr>
      <w:rFonts w:ascii="Tahoma" w:hAnsi="Tahoma" w:eastAsia="Tahoma" w:cs="Tahoma"/>
      <w:sz w:val="18"/>
      <w:szCs w:val="18"/>
    </w:rPr>
  </w:style>
  <w:style w:type="character" w:styleId="14">
    <w:name w:val="HTML Cite"/>
    <w:basedOn w:val="7"/>
    <w:qFormat/>
    <w:uiPriority w:val="0"/>
  </w:style>
  <w:style w:type="character" w:customStyle="1" w:styleId="15">
    <w:name w:val="批注框文本 Char"/>
    <w:link w:val="2"/>
    <w:qFormat/>
    <w:uiPriority w:val="0"/>
    <w:rPr>
      <w:kern w:val="2"/>
      <w:sz w:val="18"/>
      <w:szCs w:val="18"/>
    </w:rPr>
  </w:style>
  <w:style w:type="character" w:customStyle="1" w:styleId="16">
    <w:name w:val="l-tab-strip-text1"/>
    <w:basedOn w:val="7"/>
    <w:qFormat/>
    <w:uiPriority w:val="0"/>
  </w:style>
  <w:style w:type="character" w:customStyle="1" w:styleId="17">
    <w:name w:val="l-tab-strip-text2"/>
    <w:basedOn w:val="7"/>
    <w:qFormat/>
    <w:uiPriority w:val="0"/>
  </w:style>
  <w:style w:type="character" w:customStyle="1" w:styleId="18">
    <w:name w:val="l-tab-strip-text3"/>
    <w:basedOn w:val="7"/>
    <w:qFormat/>
    <w:uiPriority w:val="0"/>
    <w:rPr>
      <w:color w:val="15428B"/>
    </w:rPr>
  </w:style>
  <w:style w:type="character" w:customStyle="1" w:styleId="19">
    <w:name w:val="l-tab-strip-text"/>
    <w:basedOn w:val="7"/>
    <w:qFormat/>
    <w:uiPriority w:val="0"/>
    <w:rPr>
      <w:rFonts w:ascii="Tahoma" w:hAnsi="Tahoma" w:eastAsia="Tahoma" w:cs="Tahoma"/>
      <w:color w:val="416AA3"/>
      <w:sz w:val="18"/>
      <w:szCs w:val="18"/>
    </w:rPr>
  </w:style>
  <w:style w:type="character" w:customStyle="1" w:styleId="20">
    <w:name w:val="l-tab-strip-text4"/>
    <w:basedOn w:val="7"/>
    <w:qFormat/>
    <w:uiPriority w:val="0"/>
    <w:rPr>
      <w:b/>
      <w:color w:val="15428B"/>
    </w:rPr>
  </w:style>
  <w:style w:type="character" w:customStyle="1" w:styleId="21">
    <w:name w:val="l-tab-strip-text5"/>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820</Words>
  <Characters>873</Characters>
  <Paragraphs>28</Paragraphs>
  <TotalTime>8</TotalTime>
  <ScaleCrop>false</ScaleCrop>
  <LinksUpToDate>false</LinksUpToDate>
  <CharactersWithSpaces>906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2017-12-21T06:52:00Z</dcterms:created>
  <dc:creator>lenovo</dc:creator>
  <cp:lastModifiedBy>胖妮V66简职</cp:lastModifiedBy>
  <cp:lastPrinted>2023-06-02T02:09:00Z</cp:lastPrinted>
  <dcterms:modified xsi:type="dcterms:W3CDTF">2025-05-15T01:01:29Z</dcterms:modified>
  <dc:title>济南市历下区市场监督管理局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0D802A187DBE4EA88E11839A9E87D5AA_13</vt:lpwstr>
  </property>
  <property fmtid="{D5CDD505-2E9C-101B-9397-08002B2CF9AE}" pid="4" name="KSOTemplateDocerSaveRecord">
    <vt:lpwstr>eyJoZGlkIjoiOGIyYjliMWQwZjRmMjhmMDljMWY5MjM3NWFkMGRhNTkiLCJ1c2VySWQiOiIxMDA4NzIyNzEwIn0=</vt:lpwstr>
  </property>
</Properties>
</file>