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4F2789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581400"/>
            <wp:effectExtent l="0" t="0" r="18415" b="0"/>
            <wp:docPr id="1" name="图片 1" descr="3.《建设工程规划许可证》及附表或《乡村建设规划许可证》及附表（示例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.《建设工程规划许可证》及附表或《乡村建设规划许可证》及附表（示例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6459220"/>
            <wp:effectExtent l="0" t="0" r="14605" b="17780"/>
            <wp:docPr id="2" name="图片 2" descr="3.《建设工程规划许可证》及附表或《乡村建设规划许可证》及附表（示例2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.《建设工程规划许可证》及附表或《乡村建设规划许可证》及附表（示例2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45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D6DBC1A3"/>
    <w:rsid w:val="D6DBC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Office_7.5.1.8994_F1E327BC-269C-435d-A152-05C5408002CA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2025-06-12T11:02:00Z</dcterms:created>
  <dc:creator>凉笙墨染</dc:creator>
  <cp:lastModifiedBy>凉笙墨染</cp:lastModifiedBy>
  <dcterms:modified xsi:type="dcterms:W3CDTF">2025-06-12T11:02:56Z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2052-7.5.1.8994</vt:lpwstr>
  </property>
  <property fmtid="{D5CDD505-2E9C-101B-9397-08002B2CF9AE}" pid="3" name="ICV">
    <vt:lpwstr>13AF86628CA606B542434A688A29CA6C_41</vt:lpwstr>
  </property>
</Properties>
</file>